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</w:p>
    <w:p>
      <w:pPr>
        <w:pStyle w:val="850"/>
        <w:tabs>
          <w:tab w:val="left" w:pos="720" w:leader="none"/>
        </w:tabs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</w:p>
    <w:p>
      <w:pPr>
        <w:pStyle w:val="850"/>
        <w:tabs>
          <w:tab w:val="left" w:pos="9900" w:leader="none"/>
        </w:tabs>
        <w:ind w:right="2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629-т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акционерному обществу «Ямалкоммунэнерго»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(филиал акционерного общества «Ямалкоммунэнерго» </w:t>
        <w:br/>
        <w:t xml:space="preserve">в Приуральском районе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) тарифов на питьевую воду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поселка Щучье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округа Приуральский район 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олгосрочных </w:t>
      </w:r>
      <w:hyperlink r:id="rId11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b/>
            <w:bCs/>
            <w:color w:val="000000" w:themeColor="text1"/>
            <w:sz w:val="28"/>
            <w:szCs w:val="28"/>
          </w:rPr>
          <w:t xml:space="preserve">параметров</w:t>
        </w:r>
      </w:hyperlink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 регулирования тарифов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2025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2029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2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акционерному обществу «Ямалкоммунэнерго»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(филиал акционерного общества «Ямалкоммунэнерго» </w:t>
        <w:br/>
        <w:t xml:space="preserve">в Приуральском районе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питьевую воду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для расчетов </w:t>
        <w:br/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поселка Щучье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округа Приуральский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акционерному обществу «Ямалкоммунэнерго»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(филиал акционерного общества «Ямалкоммунэнерго» </w:t>
        <w:br/>
        <w:t xml:space="preserve">в Приуральском районе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2025 - 2029 годы согласно приложению № 2</w:t>
      </w:r>
      <w:r>
        <w:rPr>
          <w:rFonts w:ascii="Liberation Sans" w:hAnsi="Liberation Sans" w:cs="Liberation Sans"/>
        </w:rPr>
        <w:t xml:space="preserve">.</w:t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2025 года по 31 декабря 2029 года.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2025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2029 года.</w:t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629-т</w:t>
      </w:r>
      <w:r>
        <w:rPr>
          <w:rFonts w:ascii="Liberation Sans" w:hAnsi="Liberation Sans" w:eastAsia="Liberation Serif" w:cs="Liberation Sans"/>
          <w:sz w:val="24"/>
          <w:szCs w:val="26"/>
        </w:rPr>
      </w:r>
    </w:p>
    <w:p>
      <w:pPr>
        <w:outlineLvl w:val="0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«Ямалкоммунэнерго»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(филиал акционерного общества «Ямалкоммунэнерго» в Приуральском районе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t xml:space="preserve">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Щучье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left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right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3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9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</w:rPr>
              <w:t xml:space="preserve">4964,96</w:t>
            </w:r>
            <w:r>
              <w:rPr>
                <w:rFonts w:ascii="Liberation Sans" w:hAnsi="Liberation Sans" w:eastAsia="Times New Roman" w:cs="Liberation Sans"/>
                <w:sz w:val="24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5547,85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7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5547,85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6199,16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57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6199,16</w:t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6926,94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57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6926,94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7740,15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28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7740,15</w:t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8648,84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27"/>
        </w:trPr>
        <w:tc>
          <w:tcPr>
            <w:tcW w:w="6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9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</w:rPr>
              <w:t xml:space="preserve">57,05</w:t>
            </w:r>
            <w:r>
              <w:rPr>
                <w:rFonts w:ascii="Liberation Sans" w:hAnsi="Liberation Sans" w:eastAsia="Times New Roman" w:cs="Liberation Sans"/>
                <w:sz w:val="24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61,84</w:t>
            </w:r>
          </w:p>
        </w:tc>
      </w:tr>
      <w:tr>
        <w:trPr>
          <w:cantSplit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18"/>
        </w:trPr>
        <w:tc>
          <w:tcPr>
            <w:tcW w:w="6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95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</w:rPr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68,46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74,21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230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5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</w:t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629-т</w:t>
      </w:r>
      <w:r>
        <w:rPr>
          <w:rFonts w:ascii="Liberation Sans" w:hAnsi="Liberation Sans" w:eastAsia="Liberation Serif" w:cs="Liberation Sans"/>
          <w:sz w:val="24"/>
          <w:szCs w:val="26"/>
        </w:rPr>
      </w:r>
    </w:p>
    <w:p>
      <w:pPr>
        <w:jc w:val="left"/>
        <w:outlineLvl w:val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center"/>
        <w:rPr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«Ямалкоммунэнерго»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(филиал акционерного общества «Ямалкоммунэнерго» в Приуральском районе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2025 - 2029 годы</w:t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35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0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957" w:type="dxa"/>
            <w:gridSpan w:val="2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35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09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117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094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99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7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144"/>
        </w:trPr>
        <w:tc>
          <w:tcPr>
            <w:tcW w:w="606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35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09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7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20"/>
        </w:trPr>
        <w:tc>
          <w:tcPr>
            <w:tcW w:w="15217" w:type="dxa"/>
            <w:gridSpan w:val="8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ПИТЬЕВАЯ ВОДА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</w:p>
        </w:tc>
        <w:tc>
          <w:tcPr>
            <w:tcW w:w="2435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 (филиал акционерного общества «Ямалкоммунэнерго» в Приуральском районе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tcW w:w="1109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9 016,36</w:t>
            </w:r>
          </w:p>
        </w:tc>
        <w:tc>
          <w:tcPr>
            <w:tcW w:w="209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9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1,00</w:t>
            </w:r>
          </w:p>
        </w:tc>
        <w:tc>
          <w:tcPr>
            <w:tcW w:w="247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2480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1,85</w:t>
            </w:r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435" w:type="dxa"/>
            <w:vMerge w:val="continue"/>
            <w:noWrap w:val="false"/>
            <w:textDirection w:val="lrTb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09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09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9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1,01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47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-</w:t>
            </w:r>
          </w:p>
        </w:tc>
        <w:tc>
          <w:tcPr>
            <w:tcW w:w="2480" w:type="dxa"/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1,85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trHeight w:val="549"/>
        </w:trPr>
        <w:tc>
          <w:tcPr>
            <w:tcW w:w="606" w:type="dxa"/>
            <w:vMerge w:val="continue"/>
            <w:noWrap w:val="false"/>
            <w:textDirection w:val="lrTb"/>
          </w:tcPr>
          <w:p/>
        </w:tc>
        <w:tc>
          <w:tcPr>
            <w:tcW w:w="2435" w:type="dxa"/>
            <w:vMerge w:val="continue"/>
            <w:noWrap w:val="false"/>
            <w:textDirection w:val="lrTb"/>
          </w:tcPr>
          <w:p/>
        </w:tc>
        <w:tc>
          <w:tcPr>
            <w:tcW w:w="1109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094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99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1,02</w:t>
            </w:r>
          </w:p>
        </w:tc>
        <w:tc>
          <w:tcPr>
            <w:tcW w:w="2477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480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1,85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trHeight w:val="549"/>
        </w:trPr>
        <w:tc>
          <w:tcPr>
            <w:tcW w:w="606" w:type="dxa"/>
            <w:vMerge w:val="continue"/>
            <w:noWrap w:val="false"/>
            <w:textDirection w:val="lrTb"/>
          </w:tcPr>
          <w:p/>
        </w:tc>
        <w:tc>
          <w:tcPr>
            <w:tcW w:w="2435" w:type="dxa"/>
            <w:vMerge w:val="continue"/>
            <w:noWrap w:val="false"/>
            <w:textDirection w:val="lrTb"/>
          </w:tcPr>
          <w:p/>
        </w:tc>
        <w:tc>
          <w:tcPr>
            <w:tcW w:w="1109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094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99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1,03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477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480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1,85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>
          <w:trHeight w:val="621"/>
        </w:trPr>
        <w:tc>
          <w:tcPr>
            <w:tcW w:w="606" w:type="dxa"/>
            <w:vMerge w:val="continue"/>
            <w:noWrap w:val="false"/>
            <w:textDirection w:val="lrTb"/>
          </w:tcPr>
          <w:p/>
        </w:tc>
        <w:tc>
          <w:tcPr>
            <w:tcW w:w="2435" w:type="dxa"/>
            <w:vMerge w:val="continue"/>
            <w:noWrap w:val="false"/>
            <w:textDirection w:val="lrTb"/>
          </w:tcPr>
          <w:p/>
        </w:tc>
        <w:tc>
          <w:tcPr>
            <w:tcW w:w="1109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094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99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1,04</w:t>
            </w:r>
          </w:p>
        </w:tc>
        <w:tc>
          <w:tcPr>
            <w:tcW w:w="2477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480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1,85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</w:tbl>
    <w:p/>
    <w:sectPr>
      <w:footnotePr/>
      <w:endnotePr/>
      <w:type w:val="nextPage"/>
      <w:pgSz w:w="16838" w:h="11906" w:orient="landscape"/>
      <w:pgMar w:top="110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8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833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834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835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836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37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838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720"/>
      <w:contextualSpacing w:val="0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2" Type="http://schemas.openxmlformats.org/officeDocument/2006/relationships/hyperlink" Target="consultantplus://offline/ref=21FAF34727E4E93BD845608C84F88EE5A2D220B235018A31618DB5B4205409AF2C61E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Relationship Id="rId22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created xsi:type="dcterms:W3CDTF">2022-10-31T11:46:00Z</dcterms:created>
  <dcterms:modified xsi:type="dcterms:W3CDTF">2024-12-22T07:19:03Z</dcterms:modified>
</cp:coreProperties>
</file>